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937" w14:textId="77777777" w:rsidR="00CA6FFE" w:rsidRDefault="00CA6FFE">
      <w:pPr>
        <w:pBdr>
          <w:bottom w:val="single" w:sz="18" w:space="1" w:color="395460"/>
        </w:pBdr>
        <w:spacing w:before="40" w:after="80"/>
        <w:rPr>
          <w:rFonts w:hint="eastAsia"/>
        </w:rPr>
      </w:pPr>
    </w:p>
    <w:p w14:paraId="4FA108BC" w14:textId="77777777" w:rsidR="00CA6FFE" w:rsidRDefault="00000000">
      <w:pPr>
        <w:spacing w:before="280" w:after="80" w:line="252" w:lineRule="auto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56"/>
        </w:rPr>
        <w:t>Board Commentary</w:t>
      </w:r>
    </w:p>
    <w:p w14:paraId="6FD8E165" w14:textId="77777777" w:rsidR="00CA6FFE" w:rsidRDefault="00000000">
      <w:pPr>
        <w:spacing w:line="264" w:lineRule="auto"/>
        <w:rPr>
          <w:rFonts w:hint="eastAsia"/>
        </w:rPr>
      </w:pPr>
      <w:r>
        <w:rPr>
          <w:rFonts w:ascii="IBM Plex Serif" w:hAnsi="IBM Plex Serif" w:cs="IBM Plex Serif"/>
          <w:i/>
          <w:color w:val="979A9C"/>
          <w:sz w:val="32"/>
        </w:rPr>
        <w:t>The 12-paragraph framework</w:t>
      </w:r>
    </w:p>
    <w:p w14:paraId="6E4BDC5F" w14:textId="77777777" w:rsidR="00CA6FFE" w:rsidRDefault="00000000">
      <w:pPr>
        <w:spacing w:before="160" w:line="336" w:lineRule="auto"/>
        <w:rPr>
          <w:rFonts w:hint="eastAsia"/>
        </w:rPr>
      </w:pPr>
      <w:r>
        <w:rPr>
          <w:color w:val="404040"/>
        </w:rPr>
        <w:t>Boards read commentary that does four things in order. Tells them what happened. Explains why. Says what's coming. Asks for a decision. Three paragraphs per section. Twelve paragraphs total. Target length: 1,400 words. If you can't say it in this envelope, you haven't said it yet.</w:t>
      </w:r>
    </w:p>
    <w:p w14:paraId="6F520BF0" w14:textId="77777777" w:rsidR="00CA6FFE" w:rsidRDefault="00000000">
      <w:pPr>
        <w:spacing w:before="200" w:after="80" w:line="240" w:lineRule="auto"/>
        <w:rPr>
          <w:rFonts w:hint="eastAsia"/>
        </w:rPr>
      </w:pPr>
      <w:r>
        <w:rPr>
          <w:b/>
          <w:color w:val="395460"/>
          <w:sz w:val="18"/>
        </w:rPr>
        <w:t>MEETING DETAILS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7087"/>
      </w:tblGrid>
      <w:tr w:rsidR="00CA6FFE" w14:paraId="513CFB13" w14:textId="77777777">
        <w:tc>
          <w:tcPr>
            <w:tcW w:w="2551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A0F7E4" w14:textId="77777777" w:rsidR="00CA6FFE" w:rsidRDefault="00000000">
            <w:pPr>
              <w:spacing w:after="0"/>
              <w:rPr>
                <w:rFonts w:hint="eastAsia"/>
              </w:rPr>
            </w:pPr>
            <w:r>
              <w:rPr>
                <w:b/>
                <w:color w:val="395460"/>
                <w:sz w:val="20"/>
              </w:rPr>
              <w:t>Reporting period</w:t>
            </w:r>
          </w:p>
        </w:tc>
        <w:tc>
          <w:tcPr>
            <w:tcW w:w="7087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F52A97C" w14:textId="77777777" w:rsidR="00CA6FFE" w:rsidRDefault="00CA6FFE">
            <w:pPr>
              <w:spacing w:after="0"/>
              <w:rPr>
                <w:rFonts w:hint="eastAsia"/>
              </w:rPr>
            </w:pPr>
          </w:p>
        </w:tc>
      </w:tr>
      <w:tr w:rsidR="00CA6FFE" w14:paraId="537464DC" w14:textId="77777777">
        <w:tc>
          <w:tcPr>
            <w:tcW w:w="2551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78D9A7" w14:textId="77777777" w:rsidR="00CA6FFE" w:rsidRDefault="00000000">
            <w:pPr>
              <w:spacing w:after="0"/>
              <w:rPr>
                <w:rFonts w:hint="eastAsia"/>
              </w:rPr>
            </w:pPr>
            <w:r>
              <w:rPr>
                <w:b/>
                <w:color w:val="395460"/>
                <w:sz w:val="20"/>
              </w:rPr>
              <w:t>Prepared by</w:t>
            </w:r>
          </w:p>
        </w:tc>
        <w:tc>
          <w:tcPr>
            <w:tcW w:w="7087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4295A9" w14:textId="77777777" w:rsidR="00CA6FFE" w:rsidRDefault="00CA6FFE">
            <w:pPr>
              <w:spacing w:after="0"/>
              <w:rPr>
                <w:rFonts w:hint="eastAsia"/>
              </w:rPr>
            </w:pPr>
          </w:p>
        </w:tc>
      </w:tr>
      <w:tr w:rsidR="00CA6FFE" w14:paraId="040C4003" w14:textId="77777777">
        <w:tc>
          <w:tcPr>
            <w:tcW w:w="2551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4E3E6A" w14:textId="77777777" w:rsidR="00CA6FFE" w:rsidRDefault="00000000">
            <w:pPr>
              <w:spacing w:after="0"/>
              <w:rPr>
                <w:rFonts w:hint="eastAsia"/>
              </w:rPr>
            </w:pPr>
            <w:r>
              <w:rPr>
                <w:b/>
                <w:color w:val="395460"/>
                <w:sz w:val="20"/>
              </w:rPr>
              <w:t>Date issued</w:t>
            </w:r>
          </w:p>
        </w:tc>
        <w:tc>
          <w:tcPr>
            <w:tcW w:w="7087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BD30F6" w14:textId="77777777" w:rsidR="00CA6FFE" w:rsidRDefault="00CA6FFE">
            <w:pPr>
              <w:spacing w:after="0"/>
              <w:rPr>
                <w:rFonts w:hint="eastAsia"/>
              </w:rPr>
            </w:pPr>
          </w:p>
        </w:tc>
      </w:tr>
      <w:tr w:rsidR="00CA6FFE" w14:paraId="79661ABF" w14:textId="77777777">
        <w:tc>
          <w:tcPr>
            <w:tcW w:w="2551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00631E" w14:textId="77777777" w:rsidR="00CA6FFE" w:rsidRDefault="00000000">
            <w:pPr>
              <w:spacing w:after="0"/>
              <w:rPr>
                <w:rFonts w:hint="eastAsia"/>
              </w:rPr>
            </w:pPr>
            <w:r>
              <w:rPr>
                <w:b/>
                <w:color w:val="395460"/>
                <w:sz w:val="20"/>
              </w:rPr>
              <w:t>Distribution</w:t>
            </w:r>
          </w:p>
        </w:tc>
        <w:tc>
          <w:tcPr>
            <w:tcW w:w="7087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E7604C" w14:textId="77777777" w:rsidR="00CA6FFE" w:rsidRDefault="00CA6FFE">
            <w:pPr>
              <w:spacing w:after="0"/>
              <w:rPr>
                <w:rFonts w:hint="eastAsia"/>
              </w:rPr>
            </w:pPr>
          </w:p>
        </w:tc>
      </w:tr>
    </w:tbl>
    <w:p w14:paraId="5D1D1B1A" w14:textId="77777777" w:rsidR="00CA6FFE" w:rsidRDefault="00CA6FFE">
      <w:pPr>
        <w:spacing w:after="160"/>
        <w:rPr>
          <w:rFonts w:hint="eastAsia"/>
        </w:rPr>
      </w:pPr>
    </w:p>
    <w:p w14:paraId="40A5AF41" w14:textId="77777777" w:rsidR="00CA6FFE" w:rsidRDefault="00000000">
      <w:pPr>
        <w:spacing w:before="400" w:after="40" w:line="240" w:lineRule="auto"/>
        <w:rPr>
          <w:rFonts w:hint="eastAsia"/>
        </w:rPr>
      </w:pPr>
      <w:r>
        <w:rPr>
          <w:b/>
          <w:color w:val="395460"/>
          <w:sz w:val="24"/>
        </w:rPr>
        <w:t>SECTION 1 / PERFORMANCE</w:t>
      </w:r>
    </w:p>
    <w:p w14:paraId="2F411F4A" w14:textId="77777777" w:rsidR="00CA6FFE" w:rsidRDefault="00CA6FFE">
      <w:pPr>
        <w:pBdr>
          <w:bottom w:val="single" w:sz="12" w:space="1" w:color="38AB45"/>
        </w:pBdr>
        <w:spacing w:before="40" w:after="80"/>
        <w:rPr>
          <w:rFonts w:hint="eastAsia"/>
        </w:rPr>
      </w:pPr>
    </w:p>
    <w:p w14:paraId="705A2914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1.  The headline</w:t>
      </w:r>
    </w:p>
    <w:p w14:paraId="4DE6E43E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One number. One sentence on direction. One sentence on whether it matters.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30610165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DCF01A8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97F496B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23308156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16DE96A3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445AF3F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147F3CC3" w14:textId="77777777" w:rsidR="00CA6FFE" w:rsidRDefault="00CA6FFE">
      <w:pPr>
        <w:spacing w:after="160"/>
        <w:rPr>
          <w:rFonts w:hint="eastAsia"/>
        </w:rPr>
      </w:pPr>
    </w:p>
    <w:p w14:paraId="704AB9BD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2.  The drivers</w:t>
      </w:r>
    </w:p>
    <w:p w14:paraId="7DC46AA3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What moved the number. Volume, mix, price, FX. Quantify the top two. If one driver explains 80% of the move, say so and stop.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24EF8B12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33BED77" w14:textId="4F0F7ADB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5D11F0FB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1456A5AD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lastRenderedPageBreak/>
              <w:t xml:space="preserve"> </w:t>
            </w:r>
          </w:p>
          <w:p w14:paraId="5B1EA52E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41B3AC8E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14B6EFF5" w14:textId="77777777" w:rsidR="00CA6FFE" w:rsidRDefault="00CA6FFE">
      <w:pPr>
        <w:spacing w:after="160"/>
        <w:rPr>
          <w:rFonts w:hint="eastAsia"/>
        </w:rPr>
      </w:pPr>
    </w:p>
    <w:p w14:paraId="4920493E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3.  Quality of result</w:t>
      </w:r>
    </w:p>
    <w:p w14:paraId="76A6B50C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Earned, timed, or fluked? A €100K deal closed two weeks early is not the same as a €100K deal that arrived because the product is selling itself.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5639395D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47C9248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6A04B6FC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51ECD1DD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053BEFD8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676CDBCD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6C5A8238" w14:textId="77777777" w:rsidR="00CA6FFE" w:rsidRDefault="00CA6FFE">
      <w:pPr>
        <w:spacing w:after="160"/>
        <w:rPr>
          <w:rFonts w:hint="eastAsia"/>
        </w:rPr>
      </w:pPr>
    </w:p>
    <w:p w14:paraId="67428B96" w14:textId="77777777" w:rsidR="00CA6FFE" w:rsidRDefault="00000000">
      <w:pPr>
        <w:spacing w:before="400" w:after="40" w:line="240" w:lineRule="auto"/>
        <w:rPr>
          <w:rFonts w:hint="eastAsia"/>
        </w:rPr>
      </w:pPr>
      <w:r>
        <w:rPr>
          <w:b/>
          <w:color w:val="395460"/>
          <w:sz w:val="24"/>
        </w:rPr>
        <w:t>SECTION 2 / VARIANCE</w:t>
      </w:r>
    </w:p>
    <w:p w14:paraId="7EF1F366" w14:textId="77777777" w:rsidR="00CA6FFE" w:rsidRDefault="00CA6FFE">
      <w:pPr>
        <w:pBdr>
          <w:bottom w:val="single" w:sz="12" w:space="1" w:color="FFD500"/>
        </w:pBdr>
        <w:spacing w:before="40" w:after="80"/>
        <w:rPr>
          <w:rFonts w:hint="eastAsia"/>
        </w:rPr>
      </w:pPr>
    </w:p>
    <w:p w14:paraId="23137E34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4.  Versus budget</w:t>
      </w:r>
    </w:p>
    <w:p w14:paraId="3DDD44F7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Material gaps only. State the gap, name the cause, say whether it's a one-off or a trend.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46C366DD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CAB9AC9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0E5DEFCF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44C58322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68448C43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28C5C92C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514E09DF" w14:textId="77777777" w:rsidR="00CA6FFE" w:rsidRDefault="00CA6FFE">
      <w:pPr>
        <w:spacing w:after="160"/>
        <w:rPr>
          <w:rFonts w:hint="eastAsia"/>
        </w:rPr>
      </w:pPr>
    </w:p>
    <w:p w14:paraId="39DD84D5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5.  Versus prior period</w:t>
      </w:r>
    </w:p>
    <w:p w14:paraId="023DAA89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Quarter-on-quarter or year-on-year. Pick one. Skip the comparison if neither tells a story.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1D10AEB1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2C4045E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04E83F47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5CD048F4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D8BA164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0BB509F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lastRenderedPageBreak/>
              <w:t xml:space="preserve"> </w:t>
            </w:r>
          </w:p>
        </w:tc>
      </w:tr>
    </w:tbl>
    <w:p w14:paraId="240A885B" w14:textId="77777777" w:rsidR="00CA6FFE" w:rsidRDefault="00CA6FFE">
      <w:pPr>
        <w:spacing w:after="160"/>
        <w:rPr>
          <w:rFonts w:hint="eastAsia"/>
        </w:rPr>
      </w:pPr>
    </w:p>
    <w:p w14:paraId="431DCC8C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6.  Versus expectations</w:t>
      </w:r>
    </w:p>
    <w:p w14:paraId="693CE741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What did the board last hear from you? How does the actual compare? This is the paragraph the chair always remembers.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13206644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80A4FE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42469232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28634D8D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04A2D558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5DF5081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5D000CDA" w14:textId="77777777" w:rsidR="00CA6FFE" w:rsidRDefault="00CA6FFE">
      <w:pPr>
        <w:spacing w:after="160"/>
        <w:rPr>
          <w:rFonts w:hint="eastAsia"/>
        </w:rPr>
      </w:pPr>
    </w:p>
    <w:p w14:paraId="65F9F257" w14:textId="77777777" w:rsidR="00CA6FFE" w:rsidRDefault="00000000">
      <w:pPr>
        <w:spacing w:before="400" w:after="40" w:line="240" w:lineRule="auto"/>
        <w:rPr>
          <w:rFonts w:hint="eastAsia"/>
        </w:rPr>
      </w:pPr>
      <w:r>
        <w:rPr>
          <w:b/>
          <w:color w:val="395460"/>
          <w:sz w:val="24"/>
        </w:rPr>
        <w:t>SECTION 3 / FORWARD VIEW</w:t>
      </w:r>
    </w:p>
    <w:p w14:paraId="40D2EA11" w14:textId="77777777" w:rsidR="00CA6FFE" w:rsidRDefault="00CA6FFE">
      <w:pPr>
        <w:pBdr>
          <w:bottom w:val="single" w:sz="12" w:space="1" w:color="395460"/>
        </w:pBdr>
        <w:spacing w:before="40" w:after="80"/>
        <w:rPr>
          <w:rFonts w:hint="eastAsia"/>
        </w:rPr>
      </w:pPr>
    </w:p>
    <w:p w14:paraId="766A6EAE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7.  Leading indicators</w:t>
      </w:r>
    </w:p>
    <w:p w14:paraId="6C25079D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Next 90 days, framed by data not optimism. Pipeline coverage, renewal rates, hiring against plan.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743E2A2A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3A1FC5B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585B25AB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BC0FF91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6192D79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EF265F4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0FE47603" w14:textId="77777777" w:rsidR="00CA6FFE" w:rsidRDefault="00CA6FFE">
      <w:pPr>
        <w:spacing w:after="160"/>
        <w:rPr>
          <w:rFonts w:hint="eastAsia"/>
        </w:rPr>
      </w:pPr>
    </w:p>
    <w:p w14:paraId="4A90022B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8.  Risks</w:t>
      </w:r>
    </w:p>
    <w:p w14:paraId="11B0047D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Specific, not boilerplate. One risk being managed this quarter. One being watched. One that has gone away.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76FA18A6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8A8F339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48793F1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10437446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06D04E51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00592557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73909249" w14:textId="77777777" w:rsidR="00CA6FFE" w:rsidRDefault="00CA6FFE">
      <w:pPr>
        <w:spacing w:after="160"/>
        <w:rPr>
          <w:rFonts w:hint="eastAsia"/>
        </w:rPr>
      </w:pPr>
    </w:p>
    <w:p w14:paraId="0C48FE06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lastRenderedPageBreak/>
        <w:t>9.  Opportunities</w:t>
      </w:r>
    </w:p>
    <w:p w14:paraId="6745D743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Concrete opportunities the executive team is moving on, with the size of the prize attached.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43DE9E8E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D60102F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6959DC06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75AC33F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0012566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70487E8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4E758E2B" w14:textId="77777777" w:rsidR="00CA6FFE" w:rsidRDefault="00CA6FFE">
      <w:pPr>
        <w:spacing w:after="160"/>
        <w:rPr>
          <w:rFonts w:hint="eastAsia"/>
        </w:rPr>
      </w:pPr>
    </w:p>
    <w:p w14:paraId="0EDBE6A2" w14:textId="77777777" w:rsidR="00CA6FFE" w:rsidRDefault="00000000">
      <w:pPr>
        <w:spacing w:before="400" w:after="40" w:line="240" w:lineRule="auto"/>
        <w:rPr>
          <w:rFonts w:hint="eastAsia"/>
        </w:rPr>
      </w:pPr>
      <w:r>
        <w:rPr>
          <w:b/>
          <w:color w:val="395460"/>
          <w:sz w:val="24"/>
        </w:rPr>
        <w:t>SECTION 4 / ACTION</w:t>
      </w:r>
    </w:p>
    <w:p w14:paraId="252B949E" w14:textId="77777777" w:rsidR="00CA6FFE" w:rsidRDefault="00CA6FFE">
      <w:pPr>
        <w:pBdr>
          <w:bottom w:val="single" w:sz="12" w:space="1" w:color="E30613"/>
        </w:pBdr>
        <w:spacing w:before="40" w:after="80"/>
        <w:rPr>
          <w:rFonts w:hint="eastAsia"/>
        </w:rPr>
      </w:pPr>
    </w:p>
    <w:p w14:paraId="13F13AFB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10.  Decisions taken</w:t>
      </w:r>
    </w:p>
    <w:p w14:paraId="287070E6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Close the loop on what the board approved last quarter. Did it land?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3975E84D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CA7E67E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50425FCA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1D61B781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48C991A6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7E57993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7B5D9B06" w14:textId="77777777" w:rsidR="00CA6FFE" w:rsidRDefault="00CA6FFE">
      <w:pPr>
        <w:spacing w:after="160"/>
        <w:rPr>
          <w:rFonts w:hint="eastAsia"/>
        </w:rPr>
      </w:pPr>
    </w:p>
    <w:p w14:paraId="51113934" w14:textId="77777777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t>11.  Decisions needed</w:t>
      </w:r>
    </w:p>
    <w:p w14:paraId="1CCC5BD5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What the board has to do at this meeting. One sentence per ask. Supporting paper goes behind a tab.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1D1BBFD6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6EBA8FB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9BEA4A2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21BED9EF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31BB5BB3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7BB9AC81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4C9B28AB" w14:textId="77777777" w:rsidR="00CA6FFE" w:rsidRDefault="00CA6FFE">
      <w:pPr>
        <w:spacing w:after="160"/>
        <w:rPr>
          <w:rFonts w:hint="eastAsia"/>
        </w:rPr>
      </w:pPr>
    </w:p>
    <w:p w14:paraId="02C450AE" w14:textId="77777777" w:rsidR="00D43398" w:rsidRDefault="00D43398">
      <w:pPr>
        <w:spacing w:before="280" w:after="40"/>
        <w:rPr>
          <w:rFonts w:ascii="IBM Plex Serif" w:hAnsi="IBM Plex Serif" w:cs="IBM Plex Serif"/>
          <w:b/>
          <w:color w:val="395460"/>
          <w:sz w:val="28"/>
        </w:rPr>
      </w:pPr>
    </w:p>
    <w:p w14:paraId="01EE5C7B" w14:textId="77777777" w:rsidR="00D43398" w:rsidRDefault="00D43398">
      <w:pPr>
        <w:spacing w:before="280" w:after="40"/>
        <w:rPr>
          <w:rFonts w:ascii="IBM Plex Serif" w:hAnsi="IBM Plex Serif" w:cs="IBM Plex Serif"/>
          <w:b/>
          <w:color w:val="395460"/>
          <w:sz w:val="28"/>
        </w:rPr>
      </w:pPr>
    </w:p>
    <w:p w14:paraId="7773FD3D" w14:textId="4057C35B" w:rsidR="00CA6FFE" w:rsidRDefault="00000000">
      <w:pPr>
        <w:spacing w:before="280" w:after="4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28"/>
        </w:rPr>
        <w:lastRenderedPageBreak/>
        <w:t>12.  Watch list</w:t>
      </w:r>
    </w:p>
    <w:p w14:paraId="37C6F430" w14:textId="77777777" w:rsidR="00CA6FFE" w:rsidRDefault="00000000">
      <w:pPr>
        <w:spacing w:after="120" w:line="300" w:lineRule="auto"/>
        <w:rPr>
          <w:rFonts w:hint="eastAsia"/>
        </w:rPr>
      </w:pPr>
      <w:r>
        <w:rPr>
          <w:i/>
          <w:color w:val="595959"/>
          <w:sz w:val="20"/>
        </w:rPr>
        <w:t>Two or three items being tracked but not yet ready for decision. Signals the executive knows what's on the horizon.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A6FFE" w14:paraId="2399F557" w14:textId="77777777">
        <w:tc>
          <w:tcPr>
            <w:tcW w:w="9638" w:type="dxa"/>
            <w:tcBorders>
              <w:top w:val="single" w:sz="6" w:space="0" w:color="D1D7DA"/>
              <w:left w:val="single" w:sz="6" w:space="0" w:color="D1D7DA"/>
              <w:bottom w:val="single" w:sz="6" w:space="0" w:color="D1D7DA"/>
              <w:right w:val="single" w:sz="6" w:space="0" w:color="D1D7DA"/>
            </w:tcBorders>
            <w:shd w:val="clear" w:color="auto" w:fill="F2F4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692A5FC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22F69881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69454C2D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228846D9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  <w:p w14:paraId="6112A6E8" w14:textId="77777777" w:rsidR="00CA6FFE" w:rsidRDefault="00000000">
            <w:pPr>
              <w:spacing w:after="0" w:line="360" w:lineRule="auto"/>
              <w:rPr>
                <w:rFonts w:hint="eastAsia"/>
              </w:rPr>
            </w:pPr>
            <w:r>
              <w:rPr>
                <w:color w:val="404040"/>
              </w:rPr>
              <w:t xml:space="preserve"> </w:t>
            </w:r>
          </w:p>
        </w:tc>
      </w:tr>
    </w:tbl>
    <w:p w14:paraId="6465C306" w14:textId="77777777" w:rsidR="00CA6FFE" w:rsidRDefault="00CA6FFE">
      <w:pPr>
        <w:spacing w:after="160"/>
        <w:rPr>
          <w:rFonts w:hint="eastAsia"/>
        </w:rPr>
      </w:pPr>
    </w:p>
    <w:p w14:paraId="2EF7B4C4" w14:textId="77777777" w:rsidR="00CA6FFE" w:rsidRDefault="00CA6FFE">
      <w:pPr>
        <w:spacing w:before="400" w:after="80" w:line="300" w:lineRule="auto"/>
        <w:rPr>
          <w:rFonts w:hint="eastAsia"/>
        </w:rPr>
      </w:pPr>
    </w:p>
    <w:p w14:paraId="6FDE9925" w14:textId="77777777" w:rsidR="00CA6FFE" w:rsidRDefault="00CA6FFE">
      <w:pPr>
        <w:pBdr>
          <w:bottom w:val="single" w:sz="18" w:space="1" w:color="395460"/>
        </w:pBdr>
        <w:spacing w:before="40" w:after="80"/>
        <w:rPr>
          <w:rFonts w:hint="eastAsia"/>
        </w:rPr>
      </w:pPr>
    </w:p>
    <w:p w14:paraId="49A60765" w14:textId="77777777" w:rsidR="00CA6FFE" w:rsidRDefault="00000000">
      <w:pPr>
        <w:spacing w:before="200" w:after="120"/>
        <w:rPr>
          <w:rFonts w:hint="eastAsia"/>
        </w:rPr>
      </w:pPr>
      <w:r>
        <w:rPr>
          <w:rFonts w:ascii="IBM Plex Serif" w:hAnsi="IBM Plex Serif" w:cs="IBM Plex Serif"/>
          <w:b/>
          <w:color w:val="395460"/>
          <w:sz w:val="30"/>
        </w:rPr>
        <w:t>Want this drafted automatically every month?</w:t>
      </w:r>
    </w:p>
    <w:p w14:paraId="0176775A" w14:textId="4A1FAEC7" w:rsidR="00CA6FFE" w:rsidRDefault="00000000">
      <w:pPr>
        <w:spacing w:line="336" w:lineRule="auto"/>
        <w:rPr>
          <w:rFonts w:hint="eastAsia"/>
        </w:rPr>
      </w:pPr>
      <w:r>
        <w:rPr>
          <w:color w:val="404040"/>
        </w:rPr>
        <w:t>Stratavor generates this exact 12-paragraph structure from your underlying data: performance, variance, forward view, action. Every claim grounded in the figures behind it. Finance teams using it report a two-week commentary cycle compressed to two hours. The output is a draft for the CFO to refine, not a final. The structure stops being something to rewrite from scratch every month.</w:t>
      </w:r>
    </w:p>
    <w:p w14:paraId="38CD5A03" w14:textId="77777777" w:rsidR="00CA6FFE" w:rsidRDefault="00000000">
      <w:pPr>
        <w:spacing w:before="80" w:after="80" w:line="288" w:lineRule="auto"/>
        <w:rPr>
          <w:rFonts w:hint="eastAsia"/>
        </w:rPr>
      </w:pPr>
      <w:r>
        <w:rPr>
          <w:b/>
          <w:color w:val="395460"/>
        </w:rPr>
        <w:t>What Stratavor does that the spreadsheet can't:</w:t>
      </w:r>
    </w:p>
    <w:p w14:paraId="39030646" w14:textId="77777777" w:rsidR="00CA6FFE" w:rsidRDefault="00000000">
      <w:pPr>
        <w:pStyle w:val="ListBullet"/>
        <w:spacing w:before="40" w:after="40" w:line="312" w:lineRule="auto"/>
        <w:rPr>
          <w:rFonts w:hint="eastAsia"/>
        </w:rPr>
      </w:pPr>
      <w:r>
        <w:rPr>
          <w:color w:val="404040"/>
        </w:rPr>
        <w:t>Pulls actuals, budget, and prior period directly from your accounting and CRM systems on a daily refresh.</w:t>
      </w:r>
    </w:p>
    <w:p w14:paraId="441480EC" w14:textId="77777777" w:rsidR="00CA6FFE" w:rsidRDefault="00000000">
      <w:pPr>
        <w:pStyle w:val="ListBullet"/>
        <w:spacing w:before="40" w:after="40" w:line="312" w:lineRule="auto"/>
        <w:rPr>
          <w:rFonts w:hint="eastAsia"/>
        </w:rPr>
      </w:pPr>
      <w:r>
        <w:rPr>
          <w:color w:val="404040"/>
        </w:rPr>
        <w:t>Computes a canonical KPI set (revenue, gross margin, EBITDA, cash runway, working capital, customer cohorts) without manual mapping.</w:t>
      </w:r>
    </w:p>
    <w:p w14:paraId="61A2C13D" w14:textId="77777777" w:rsidR="00CA6FFE" w:rsidRDefault="00000000">
      <w:pPr>
        <w:pStyle w:val="ListBullet"/>
        <w:spacing w:before="40" w:after="40" w:line="312" w:lineRule="auto"/>
        <w:rPr>
          <w:rFonts w:hint="eastAsia"/>
        </w:rPr>
      </w:pPr>
      <w:r>
        <w:rPr>
          <w:color w:val="404040"/>
        </w:rPr>
        <w:t>Runs statistical trend analysis on every line. Flags variance outside the normal noise band, ignores the rest.</w:t>
      </w:r>
    </w:p>
    <w:p w14:paraId="3BDC2364" w14:textId="77777777" w:rsidR="00CA6FFE" w:rsidRDefault="00000000">
      <w:pPr>
        <w:pStyle w:val="ListBullet"/>
        <w:spacing w:before="40" w:after="40" w:line="312" w:lineRule="auto"/>
        <w:rPr>
          <w:rFonts w:hint="eastAsia"/>
        </w:rPr>
      </w:pPr>
      <w:r>
        <w:rPr>
          <w:color w:val="404040"/>
        </w:rPr>
        <w:t>Benchmarks against peer companies in the same sector and revenue band.</w:t>
      </w:r>
    </w:p>
    <w:p w14:paraId="07469231" w14:textId="77777777" w:rsidR="00CA6FFE" w:rsidRDefault="00000000">
      <w:pPr>
        <w:pStyle w:val="ListBullet"/>
        <w:spacing w:before="40" w:after="40" w:line="312" w:lineRule="auto"/>
        <w:rPr>
          <w:rFonts w:hint="eastAsia"/>
        </w:rPr>
      </w:pPr>
      <w:r>
        <w:rPr>
          <w:color w:val="404040"/>
        </w:rPr>
        <w:t>Drafts commentary in the 12-paragraph structure, with every claim traceable back to the source figure.</w:t>
      </w:r>
    </w:p>
    <w:p w14:paraId="396313A1" w14:textId="05F036B9" w:rsidR="00CA6FFE" w:rsidRDefault="00000000">
      <w:pPr>
        <w:spacing w:before="240" w:after="120" w:line="336" w:lineRule="auto"/>
        <w:rPr>
          <w:rFonts w:hint="eastAsia"/>
        </w:rPr>
      </w:pPr>
      <w:r>
        <w:rPr>
          <w:color w:val="404040"/>
        </w:rPr>
        <w:t xml:space="preserve">Start a 7-day Growth pilot at </w:t>
      </w:r>
      <w:hyperlink r:id="rId8" w:history="1">
        <w:r w:rsidRPr="006678D6">
          <w:rPr>
            <w:rStyle w:val="Hyperlink"/>
            <w:b/>
          </w:rPr>
          <w:t>stratavor.com</w:t>
        </w:r>
      </w:hyperlink>
      <w:r>
        <w:rPr>
          <w:color w:val="404040"/>
        </w:rPr>
        <w:t>. Bring your last board pack. We'll show you how the runtime would have written the commentary.</w:t>
      </w:r>
    </w:p>
    <w:sectPr w:rsidR="00CA6FFE" w:rsidSect="00034616">
      <w:headerReference w:type="default" r:id="rId9"/>
      <w:footerReference w:type="default" r:id="rId10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E573" w14:textId="77777777" w:rsidR="00065046" w:rsidRDefault="000650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4D49E46" w14:textId="77777777" w:rsidR="00065046" w:rsidRDefault="000650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BM Plex Serif">
    <w:charset w:val="00"/>
    <w:family w:val="roman"/>
    <w:pitch w:val="variable"/>
    <w:sig w:usb0="A000026F" w:usb1="500020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3F6B" w14:textId="208CE564" w:rsidR="00CA6FFE" w:rsidRDefault="00000000">
    <w:pPr>
      <w:pStyle w:val="Footer"/>
      <w:tabs>
        <w:tab w:val="right" w:pos="9638"/>
      </w:tabs>
      <w:rPr>
        <w:rFonts w:hint="eastAsia"/>
      </w:rPr>
    </w:pPr>
    <w:r>
      <w:rPr>
        <w:color w:val="979A9C"/>
        <w:sz w:val="16"/>
      </w:rPr>
      <w:t>stratavor.com</w:t>
    </w:r>
    <w:r>
      <w:tab/>
    </w:r>
    <w:r>
      <w:rPr>
        <w:color w:val="979A9C"/>
        <w:sz w:val="16"/>
      </w:rPr>
      <w:t xml:space="preserve">Page </w:t>
    </w:r>
    <w:r>
      <w:rPr>
        <w:color w:val="979A9C"/>
        <w:sz w:val="16"/>
      </w:rPr>
      <w:fldChar w:fldCharType="begin"/>
    </w:r>
    <w:r>
      <w:rPr>
        <w:color w:val="979A9C"/>
        <w:sz w:val="16"/>
      </w:rPr>
      <w:instrText xml:space="preserve"> PAGE </w:instrText>
    </w:r>
    <w:r w:rsidR="00F93E86">
      <w:rPr>
        <w:color w:val="979A9C"/>
        <w:sz w:val="16"/>
      </w:rPr>
      <w:fldChar w:fldCharType="separate"/>
    </w:r>
    <w:r w:rsidR="00F93E86">
      <w:rPr>
        <w:noProof/>
        <w:color w:val="979A9C"/>
        <w:sz w:val="16"/>
      </w:rPr>
      <w:t>1</w:t>
    </w:r>
    <w:r>
      <w:rPr>
        <w:color w:val="979A9C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F0FE" w14:textId="77777777" w:rsidR="00065046" w:rsidRDefault="000650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1789A5" w14:textId="77777777" w:rsidR="00065046" w:rsidRDefault="000650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0FC5" w14:textId="77777777" w:rsidR="00CA6FFE" w:rsidRDefault="00000000">
    <w:pPr>
      <w:pStyle w:val="Header"/>
      <w:jc w:val="right"/>
      <w:rPr>
        <w:rFonts w:hint="eastAsia"/>
      </w:rPr>
    </w:pPr>
    <w:r>
      <w:rPr>
        <w:color w:val="979A9C"/>
        <w:sz w:val="16"/>
      </w:rPr>
      <w:t>Board Commentary Framework  |  Stratavor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0449198">
    <w:abstractNumId w:val="8"/>
  </w:num>
  <w:num w:numId="2" w16cid:durableId="993534269">
    <w:abstractNumId w:val="6"/>
  </w:num>
  <w:num w:numId="3" w16cid:durableId="1885752229">
    <w:abstractNumId w:val="5"/>
  </w:num>
  <w:num w:numId="4" w16cid:durableId="1613515408">
    <w:abstractNumId w:val="4"/>
  </w:num>
  <w:num w:numId="5" w16cid:durableId="317004284">
    <w:abstractNumId w:val="7"/>
  </w:num>
  <w:num w:numId="6" w16cid:durableId="1017198336">
    <w:abstractNumId w:val="3"/>
  </w:num>
  <w:num w:numId="7" w16cid:durableId="1882668581">
    <w:abstractNumId w:val="2"/>
  </w:num>
  <w:num w:numId="8" w16cid:durableId="302392210">
    <w:abstractNumId w:val="1"/>
  </w:num>
  <w:num w:numId="9" w16cid:durableId="29001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046"/>
    <w:rsid w:val="0015074B"/>
    <w:rsid w:val="0029639D"/>
    <w:rsid w:val="00326F90"/>
    <w:rsid w:val="006678D6"/>
    <w:rsid w:val="0083204C"/>
    <w:rsid w:val="00AA1D8D"/>
    <w:rsid w:val="00AE7A13"/>
    <w:rsid w:val="00B47730"/>
    <w:rsid w:val="00BD510F"/>
    <w:rsid w:val="00CA6FFE"/>
    <w:rsid w:val="00CB0664"/>
    <w:rsid w:val="00D43398"/>
    <w:rsid w:val="00F93E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2BE764A-3AE1-4DCE-9782-103BC405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BM Plex Sans" w:hAnsi="IBM Plex Sans" w:cs="IBM Plex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7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av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Jamie Saveall</cp:lastModifiedBy>
  <cp:revision>3</cp:revision>
  <dcterms:created xsi:type="dcterms:W3CDTF">2026-04-27T15:54:00Z</dcterms:created>
  <dcterms:modified xsi:type="dcterms:W3CDTF">2026-04-27T15:55:00Z</dcterms:modified>
  <cp:category/>
</cp:coreProperties>
</file>